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05"/>
        <w:gridCol w:w="900"/>
        <w:gridCol w:w="1935"/>
        <w:gridCol w:w="990"/>
        <w:gridCol w:w="975"/>
        <w:gridCol w:w="1605"/>
        <w:gridCol w:w="1530"/>
        <w:gridCol w:w="705"/>
        <w:tblGridChange w:id="0">
          <w:tblGrid>
            <w:gridCol w:w="705"/>
            <w:gridCol w:w="900"/>
            <w:gridCol w:w="1935"/>
            <w:gridCol w:w="990"/>
            <w:gridCol w:w="975"/>
            <w:gridCol w:w="1605"/>
            <w:gridCol w:w="1530"/>
            <w:gridCol w:w="705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52"/>
                <w:szCs w:val="52"/>
                <w:rtl w:val="0"/>
              </w:rPr>
              <w:t xml:space="preserve">FAKTURA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Fakturanummer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INV11122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Fakturadato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 januar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Forfallsdato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30 januar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Fra: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Navn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Fakturer til: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Firmanavn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Navn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Gateadresse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Firmanavn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Gateadresse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Postnummer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Postnummer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Beskrivelse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Antall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Enhetspris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Beløp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Vare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kr200.00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kr200.00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Vare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kr500.00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kr1,000.00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kr0.00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kr0.00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Notater: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Delsum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kr1,200.00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kr0.00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Betalingsinformasjon: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kr1,200.00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