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49.2485549132948"/>
        <w:gridCol w:w="825.0867052023123"/>
        <w:gridCol w:w="1771.907514450867"/>
        <w:gridCol w:w="865.6647398843929"/>
        <w:gridCol w:w="1014.4508670520231"/>
        <w:gridCol w:w="1812.4855491329479"/>
        <w:gridCol w:w="1771.907514450867"/>
        <w:gridCol w:w="649.2485549132948"/>
        <w:tblGridChange w:id="0">
          <w:tblGrid>
            <w:gridCol w:w="649.2485549132948"/>
            <w:gridCol w:w="825.0867052023123"/>
            <w:gridCol w:w="1771.907514450867"/>
            <w:gridCol w:w="865.6647398843929"/>
            <w:gridCol w:w="1014.4508670520231"/>
            <w:gridCol w:w="1812.4855491329479"/>
            <w:gridCol w:w="1771.907514450867"/>
            <w:gridCol w:w="649.2485549132948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N. pratica / procedimento: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Numero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Oggetto della pratica: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Avvocato responsabile: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di scadenza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N° iscrizione Albo: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Periodo di fatturazione: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Fatturare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Prezzo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Informazioni di pagamento: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